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  <w:t>Liste de fournitures CP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  <w:t>École Constance Lainé – 2024/2025</w:t>
      </w:r>
    </w:p>
    <w:p>
      <w:pPr>
        <w:pStyle w:val="Normal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Deux trousses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12 crayons de couleur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12 crayons feutre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ardoise (pour craies) et sa pochette ainsi qu’un chiffon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 xml:space="preserve">Une chemise grand format cartonnée, à trois rabats 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 grand classeur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paire de ciseaux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 taille-crayon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règle de 20 cm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gourde pour boire en classe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boîte de mouchoirs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Se procurer un vélo pour le cycle vélo qui commence le jeudi 12 septembre 2024 (à n’apporter que le 12/09/24)</w:t>
      </w:r>
    </w:p>
    <w:p>
      <w:pPr>
        <w:pStyle w:val="Normal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 xml:space="preserve">L’assurance scolaire avec les deux mentions : </w:t>
      </w:r>
      <w:r>
        <w:rPr>
          <w:rFonts w:ascii="Acceseditionsscript Normal" w:hAnsi="Acceseditionsscript Normal"/>
          <w:b/>
          <w:bCs/>
          <w:sz w:val="20"/>
          <w:szCs w:val="20"/>
        </w:rPr>
        <w:t>responsabilité civile et individuelle accident</w:t>
      </w:r>
    </w:p>
    <w:p>
      <w:pPr>
        <w:pStyle w:val="ListParagraph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Tout le matériel doit être marqué au nom de votre enfant et apporté à l’école le jour de la rentrée (lundi 2 septembre à 8h40).</w:t>
      </w:r>
    </w:p>
    <w:p>
      <w:pPr>
        <w:pStyle w:val="Normal"/>
        <w:jc w:val="center"/>
        <w:rPr>
          <w:rFonts w:ascii="Acceseditionsscript Normal" w:hAnsi="Acceseditionsscript Normal"/>
          <w:b/>
          <w:b/>
          <w:bCs/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</w:r>
    </w:p>
    <w:p>
      <w:pPr>
        <w:pStyle w:val="Normal"/>
        <w:jc w:val="center"/>
        <w:rPr>
          <w:rFonts w:ascii="Acceseditionsscript Normal" w:hAnsi="Acceseditionsscript Normal"/>
          <w:b/>
          <w:b/>
          <w:bCs/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</w:r>
    </w:p>
    <w:p>
      <w:pPr>
        <w:pStyle w:val="Normal"/>
        <w:jc w:val="center"/>
        <w:rPr>
          <w:rFonts w:ascii="Acceseditionsscript Normal" w:hAnsi="Acceseditionsscript Normal"/>
          <w:b/>
          <w:b/>
          <w:bCs/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  <w:t>Liste de fournitures CP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Acceseditionsscript Normal" w:hAnsi="Acceseditionsscript Normal"/>
          <w:b/>
          <w:bCs/>
          <w:sz w:val="20"/>
          <w:szCs w:val="20"/>
        </w:rPr>
        <w:t>École Constance Lainé – 2024/2025</w:t>
      </w:r>
    </w:p>
    <w:p>
      <w:pPr>
        <w:pStyle w:val="Normal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Deux trousses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12 crayons de couleur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12 crayons feutre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ardoise (pour craies) et sa pochette ainsi qu’un chiffon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 xml:space="preserve">Une chemise grand format cartonnée, à trois rabats 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 grand classeur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paire de ciseaux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 taille-crayon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règle de 20 cm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gourde pour boire en classe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Une boîte de mouchoirs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Se procurer un vélo pour le cycle vélo qui commence le jeudi 12 septembre 2024 (à n’apporter que le 12/09/24)</w:t>
      </w:r>
    </w:p>
    <w:p>
      <w:pPr>
        <w:pStyle w:val="Normal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720" w:right="0" w:hanging="360"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 xml:space="preserve">L’assurance scolaire avec les deux mentions : </w:t>
      </w:r>
      <w:r>
        <w:rPr>
          <w:rFonts w:ascii="Acceseditionsscript Normal" w:hAnsi="Acceseditionsscript Normal"/>
          <w:b/>
          <w:bCs/>
          <w:sz w:val="20"/>
          <w:szCs w:val="20"/>
        </w:rPr>
        <w:t>responsabilité civile et individuelle accident</w:t>
      </w:r>
    </w:p>
    <w:p>
      <w:pPr>
        <w:pStyle w:val="ListParagraph"/>
        <w:rPr>
          <w:rFonts w:ascii="Acceseditionsscript Normal" w:hAnsi="Acceseditionsscript Normal"/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</w:r>
    </w:p>
    <w:p>
      <w:pPr>
        <w:pStyle w:val="ListParagraph"/>
        <w:spacing w:before="0" w:after="160"/>
        <w:contextualSpacing/>
        <w:rPr>
          <w:sz w:val="20"/>
          <w:szCs w:val="20"/>
        </w:rPr>
      </w:pPr>
      <w:r>
        <w:rPr>
          <w:rFonts w:ascii="Acceseditionsscript Normal" w:hAnsi="Acceseditionsscript Normal"/>
          <w:sz w:val="20"/>
          <w:szCs w:val="20"/>
        </w:rPr>
        <w:t>Tout le matériel doit être marqué au nom de votre enfant et apporté à l’école le jour de la rentrée (lundi 2 septembre à 8h40).</w:t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cceseditionsscript Norm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10968</TotalTime>
  <Application>LibreOffice/7.3.1.3$Windows_X86_64 LibreOffice_project/a69ca51ded25f3eefd52d7bf9a5fad8c90b87951</Application>
  <AppVersion>15.0000</AppVersion>
  <Pages>1</Pages>
  <Words>258</Words>
  <Characters>1162</Characters>
  <CharactersWithSpaces>1366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2022-06-29T12:05:00Z</dcterms:created>
  <dc:creator>aurelie destouches</dc:creator>
  <dc:description/>
  <dc:language>fr-FR</dc:language>
  <cp:lastModifiedBy/>
  <cp:lastPrinted>2024-07-09T14:39:52Z</cp:lastPrinted>
  <dcterms:modified xsi:type="dcterms:W3CDTF">2024-07-09T14:56:26Z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